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7872D" w14:textId="77777777" w:rsidR="00D845A4" w:rsidRPr="00FE6EC5" w:rsidRDefault="002877E6">
      <w:pPr>
        <w:rPr>
          <w:b/>
          <w:sz w:val="24"/>
        </w:rPr>
      </w:pPr>
      <w:bookmarkStart w:id="0" w:name="_GoBack"/>
      <w:bookmarkEnd w:id="0"/>
      <w:r w:rsidRPr="00FE6EC5">
        <w:rPr>
          <w:rFonts w:eastAsia="Times New Roman" w:cs="Times New Roman"/>
          <w:b/>
          <w:bCs/>
          <w:noProof/>
          <w:color w:val="000000" w:themeColor="text1"/>
          <w:sz w:val="24"/>
          <w:szCs w:val="20"/>
          <w:lang w:val="en-US" w:eastAsia="nl-NL"/>
        </w:rPr>
        <w:drawing>
          <wp:inline distT="0" distB="0" distL="0" distR="0" wp14:anchorId="0CB08CB7" wp14:editId="6C1302EC">
            <wp:extent cx="5756910" cy="39306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3930650"/>
                    </a:xfrm>
                    <a:prstGeom prst="rect">
                      <a:avLst/>
                    </a:prstGeom>
                  </pic:spPr>
                </pic:pic>
              </a:graphicData>
            </a:graphic>
          </wp:inline>
        </w:drawing>
      </w:r>
    </w:p>
    <w:p w14:paraId="6AF98D28" w14:textId="77777777" w:rsidR="00D845A4" w:rsidRPr="00FE6EC5" w:rsidRDefault="00D845A4">
      <w:pPr>
        <w:rPr>
          <w:b/>
          <w:sz w:val="24"/>
        </w:rPr>
      </w:pPr>
    </w:p>
    <w:p w14:paraId="02A92023" w14:textId="77777777" w:rsidR="00736566" w:rsidRPr="00FE6EC5" w:rsidRDefault="00736566" w:rsidP="00736566">
      <w:pPr>
        <w:pStyle w:val="Default"/>
        <w:rPr>
          <w:rFonts w:asciiTheme="minorHAnsi" w:eastAsia="Calibri" w:hAnsiTheme="minorHAnsi" w:cstheme="minorHAnsi"/>
          <w:b/>
          <w:color w:val="auto"/>
          <w:szCs w:val="22"/>
          <w:lang w:val="en-GB"/>
        </w:rPr>
      </w:pPr>
    </w:p>
    <w:p w14:paraId="36530716" w14:textId="77777777" w:rsidR="00081B0C" w:rsidRPr="00901452" w:rsidRDefault="00081B0C" w:rsidP="00081B0C">
      <w:pPr>
        <w:rPr>
          <w:sz w:val="28"/>
          <w:szCs w:val="28"/>
        </w:rPr>
      </w:pPr>
      <w:r w:rsidRPr="00FB7F19">
        <w:rPr>
          <w:b/>
          <w:color w:val="000000"/>
          <w:sz w:val="28"/>
          <w:szCs w:val="28"/>
        </w:rPr>
        <w:t xml:space="preserve">Blockchain Analyst </w:t>
      </w:r>
      <w:r w:rsidRPr="00FB7F19">
        <w:rPr>
          <w:color w:val="000000"/>
          <w:sz w:val="28"/>
          <w:szCs w:val="28"/>
        </w:rPr>
        <w:t>|</w:t>
      </w:r>
      <w:r>
        <w:rPr>
          <w:b/>
          <w:color w:val="000000"/>
          <w:sz w:val="28"/>
          <w:szCs w:val="28"/>
        </w:rPr>
        <w:t xml:space="preserve"> </w:t>
      </w:r>
      <w:r w:rsidRPr="00901452">
        <w:rPr>
          <w:b/>
          <w:color w:val="000000"/>
          <w:sz w:val="28"/>
          <w:szCs w:val="28"/>
        </w:rPr>
        <w:t>Part of Shell Graduate Programme</w:t>
      </w:r>
    </w:p>
    <w:p w14:paraId="2A43BA80" w14:textId="77777777" w:rsidR="00081B0C" w:rsidRPr="00901452" w:rsidRDefault="00081B0C" w:rsidP="00081B0C">
      <w:pPr>
        <w:rPr>
          <w:b/>
          <w:color w:val="000000"/>
        </w:rPr>
      </w:pPr>
      <w:r w:rsidRPr="00901452">
        <w:rPr>
          <w:b/>
          <w:color w:val="000000"/>
        </w:rPr>
        <w:t xml:space="preserve">Location: </w:t>
      </w:r>
      <w:r w:rsidRPr="00FB7F19">
        <w:rPr>
          <w:b/>
          <w:color w:val="000000"/>
          <w:szCs w:val="28"/>
        </w:rPr>
        <w:t>Amsterdam</w:t>
      </w:r>
    </w:p>
    <w:p w14:paraId="03567C5F" w14:textId="77777777" w:rsidR="00081B0C" w:rsidRPr="00901452" w:rsidRDefault="00081B0C" w:rsidP="00081B0C"/>
    <w:p w14:paraId="27EE0102" w14:textId="77777777" w:rsidR="00081B0C" w:rsidRPr="00901452" w:rsidRDefault="00081B0C" w:rsidP="00081B0C">
      <w:pPr>
        <w:rPr>
          <w:b/>
          <w:color w:val="000000"/>
        </w:rPr>
      </w:pPr>
      <w:r w:rsidRPr="00901452">
        <w:rPr>
          <w:b/>
          <w:color w:val="000000"/>
        </w:rPr>
        <w:t xml:space="preserve">Summary </w:t>
      </w:r>
    </w:p>
    <w:p w14:paraId="70A981EA" w14:textId="77777777" w:rsidR="00081B0C" w:rsidRPr="00901452" w:rsidRDefault="00081B0C" w:rsidP="00081B0C">
      <w:r>
        <w:t>P</w:t>
      </w:r>
      <w:r w:rsidRPr="00901452">
        <w:t>art of our highly-reputed Graduate Programme</w:t>
      </w:r>
      <w:r>
        <w:t xml:space="preserve">, </w:t>
      </w:r>
      <w:r w:rsidRPr="00901452">
        <w:t xml:space="preserve">this placement </w:t>
      </w:r>
      <w:r>
        <w:t xml:space="preserve">in </w:t>
      </w:r>
      <w:r w:rsidRPr="00901452">
        <w:t xml:space="preserve">our Blockchain Centre of Excellence (CoE) </w:t>
      </w:r>
      <w:r>
        <w:t xml:space="preserve">is a chance to learn </w:t>
      </w:r>
      <w:r w:rsidRPr="00901452">
        <w:t>alongside some of the best minds and developers in the blockchain space</w:t>
      </w:r>
      <w:r>
        <w:t xml:space="preserve"> and build your </w:t>
      </w:r>
      <w:r w:rsidRPr="00901452">
        <w:t xml:space="preserve">blockchain </w:t>
      </w:r>
      <w:r>
        <w:t xml:space="preserve">knowledge. You’ll be </w:t>
      </w:r>
      <w:r w:rsidRPr="00901452">
        <w:t>explor</w:t>
      </w:r>
      <w:r>
        <w:t xml:space="preserve">ing </w:t>
      </w:r>
      <w:r w:rsidRPr="00901452">
        <w:t xml:space="preserve">potential applications across </w:t>
      </w:r>
      <w:r>
        <w:t xml:space="preserve">Shell </w:t>
      </w:r>
      <w:r w:rsidRPr="00901452">
        <w:t xml:space="preserve">– from supply chain and certification to mobility and energy. </w:t>
      </w:r>
    </w:p>
    <w:p w14:paraId="31E9E632" w14:textId="77777777" w:rsidR="00081B0C" w:rsidRPr="00901452" w:rsidRDefault="00081B0C" w:rsidP="00081B0C">
      <w:pPr>
        <w:rPr>
          <w:color w:val="FF0000"/>
        </w:rPr>
      </w:pPr>
    </w:p>
    <w:p w14:paraId="7530CD20" w14:textId="77777777" w:rsidR="00081B0C" w:rsidRPr="00901452" w:rsidRDefault="00081B0C" w:rsidP="00081B0C">
      <w:pPr>
        <w:rPr>
          <w:b/>
        </w:rPr>
      </w:pPr>
      <w:r w:rsidRPr="00901452">
        <w:rPr>
          <w:b/>
        </w:rPr>
        <w:t>The placement</w:t>
      </w:r>
    </w:p>
    <w:p w14:paraId="6C3A30F8" w14:textId="77777777" w:rsidR="00081B0C" w:rsidRPr="00901452" w:rsidRDefault="00081B0C" w:rsidP="00081B0C"/>
    <w:p w14:paraId="0F758D1D" w14:textId="77777777" w:rsidR="00081B0C" w:rsidRPr="00901452" w:rsidRDefault="00081B0C" w:rsidP="00081B0C">
      <w:r>
        <w:t xml:space="preserve">In this placement, </w:t>
      </w:r>
      <w:r w:rsidRPr="00901452">
        <w:t>you’ll gain the skills to be a successful Blockchain Analyst with us. It’s a great time to join this new team – we’re still at the stage where we can educate colleagues and refine our strategy. Highlights include:</w:t>
      </w:r>
    </w:p>
    <w:p w14:paraId="2BB33E1E" w14:textId="77777777" w:rsidR="00081B0C" w:rsidRPr="00901452" w:rsidRDefault="00081B0C" w:rsidP="00081B0C"/>
    <w:p w14:paraId="1662E1AA" w14:textId="77777777" w:rsidR="00081B0C" w:rsidRPr="00901452" w:rsidRDefault="00081B0C" w:rsidP="00081B0C">
      <w:pPr>
        <w:pStyle w:val="ListParagraph"/>
        <w:numPr>
          <w:ilvl w:val="0"/>
          <w:numId w:val="11"/>
        </w:numPr>
        <w:pBdr>
          <w:top w:val="nil"/>
          <w:left w:val="nil"/>
          <w:bottom w:val="nil"/>
          <w:right w:val="nil"/>
          <w:between w:val="nil"/>
        </w:pBdr>
      </w:pPr>
      <w:r w:rsidRPr="00901452">
        <w:t>Exploring potential applications – whether that’s in our core gas and oil business or new areas such as new energies or electric vehicles.</w:t>
      </w:r>
    </w:p>
    <w:p w14:paraId="6A77E549" w14:textId="77777777" w:rsidR="00081B0C" w:rsidRPr="00901452" w:rsidRDefault="00081B0C" w:rsidP="00081B0C">
      <w:pPr>
        <w:pStyle w:val="ListParagraph"/>
        <w:numPr>
          <w:ilvl w:val="0"/>
          <w:numId w:val="11"/>
        </w:numPr>
        <w:pBdr>
          <w:top w:val="nil"/>
          <w:left w:val="nil"/>
          <w:bottom w:val="nil"/>
          <w:right w:val="nil"/>
          <w:between w:val="nil"/>
        </w:pBdr>
      </w:pPr>
      <w:r w:rsidRPr="00901452">
        <w:t>Assisting on projects from ideation to deployment, working with bright, experienced analysts.</w:t>
      </w:r>
    </w:p>
    <w:p w14:paraId="14A41A02" w14:textId="77777777" w:rsidR="00081B0C" w:rsidRPr="00901452" w:rsidRDefault="00081B0C" w:rsidP="00081B0C">
      <w:pPr>
        <w:pStyle w:val="ListParagraph"/>
        <w:numPr>
          <w:ilvl w:val="0"/>
          <w:numId w:val="11"/>
        </w:numPr>
        <w:pBdr>
          <w:top w:val="nil"/>
          <w:left w:val="nil"/>
          <w:bottom w:val="nil"/>
          <w:right w:val="nil"/>
          <w:between w:val="nil"/>
        </w:pBdr>
      </w:pPr>
      <w:r w:rsidRPr="00901452">
        <w:t>Carrying out market scans on new decentralised technology primitives.</w:t>
      </w:r>
    </w:p>
    <w:p w14:paraId="76867532" w14:textId="77777777" w:rsidR="00081B0C" w:rsidRPr="00901452" w:rsidRDefault="00081B0C" w:rsidP="00081B0C">
      <w:pPr>
        <w:pStyle w:val="ListParagraph"/>
        <w:numPr>
          <w:ilvl w:val="0"/>
          <w:numId w:val="11"/>
        </w:numPr>
        <w:pBdr>
          <w:top w:val="nil"/>
          <w:left w:val="nil"/>
          <w:bottom w:val="nil"/>
          <w:right w:val="nil"/>
          <w:between w:val="nil"/>
        </w:pBdr>
      </w:pPr>
      <w:r w:rsidRPr="00901452">
        <w:t>Creating value cases for opportunities for blockchain in different business areas.</w:t>
      </w:r>
    </w:p>
    <w:p w14:paraId="1F4B0164" w14:textId="77777777" w:rsidR="00081B0C" w:rsidRDefault="00081B0C" w:rsidP="00081B0C">
      <w:pPr>
        <w:pStyle w:val="ListParagraph"/>
        <w:numPr>
          <w:ilvl w:val="0"/>
          <w:numId w:val="11"/>
        </w:numPr>
        <w:pBdr>
          <w:top w:val="nil"/>
          <w:left w:val="nil"/>
          <w:bottom w:val="nil"/>
          <w:right w:val="nil"/>
          <w:between w:val="nil"/>
        </w:pBdr>
      </w:pPr>
      <w:r w:rsidRPr="00901452">
        <w:t>Helping shape the team’s approach and way of working.</w:t>
      </w:r>
    </w:p>
    <w:p w14:paraId="1B81277B" w14:textId="77777777" w:rsidR="00081B0C" w:rsidRDefault="00081B0C" w:rsidP="00081B0C">
      <w:pPr>
        <w:pBdr>
          <w:top w:val="nil"/>
          <w:left w:val="nil"/>
          <w:bottom w:val="nil"/>
          <w:right w:val="nil"/>
          <w:between w:val="nil"/>
        </w:pBdr>
      </w:pPr>
    </w:p>
    <w:p w14:paraId="44D45E78" w14:textId="77777777" w:rsidR="00081B0C" w:rsidRPr="00E54F5B" w:rsidRDefault="00081B0C" w:rsidP="00081B0C">
      <w:pPr>
        <w:pBdr>
          <w:top w:val="nil"/>
          <w:left w:val="nil"/>
          <w:bottom w:val="nil"/>
          <w:right w:val="nil"/>
          <w:between w:val="nil"/>
        </w:pBdr>
      </w:pPr>
      <w:r>
        <w:lastRenderedPageBreak/>
        <w:t xml:space="preserve">This is the first of two Graduate Programme placements; your second could </w:t>
      </w:r>
      <w:r w:rsidRPr="00E54F5B">
        <w:t>be in data engineering, data analytics</w:t>
      </w:r>
      <w:r>
        <w:t xml:space="preserve">, </w:t>
      </w:r>
      <w:r w:rsidRPr="00E54F5B">
        <w:t>IT Architecture</w:t>
      </w:r>
      <w:r>
        <w:t xml:space="preserve"> or a similar part of our business.</w:t>
      </w:r>
    </w:p>
    <w:p w14:paraId="2238F1B2" w14:textId="77777777" w:rsidR="00081B0C" w:rsidRPr="00E54F5B" w:rsidRDefault="00081B0C" w:rsidP="00081B0C">
      <w:pPr>
        <w:pBdr>
          <w:top w:val="nil"/>
          <w:left w:val="nil"/>
          <w:bottom w:val="nil"/>
          <w:right w:val="nil"/>
          <w:between w:val="nil"/>
        </w:pBdr>
      </w:pPr>
    </w:p>
    <w:p w14:paraId="7D9CF3CE" w14:textId="77777777" w:rsidR="00081B0C" w:rsidRPr="00901452" w:rsidRDefault="00081B0C" w:rsidP="00081B0C">
      <w:pPr>
        <w:rPr>
          <w:b/>
        </w:rPr>
      </w:pPr>
      <w:r w:rsidRPr="00901452">
        <w:rPr>
          <w:b/>
        </w:rPr>
        <w:t>Who are you?</w:t>
      </w:r>
    </w:p>
    <w:p w14:paraId="0942243E" w14:textId="77777777" w:rsidR="00081B0C" w:rsidRPr="00901452" w:rsidRDefault="00081B0C" w:rsidP="00081B0C">
      <w:pPr>
        <w:pBdr>
          <w:top w:val="nil"/>
          <w:left w:val="nil"/>
          <w:bottom w:val="nil"/>
          <w:right w:val="nil"/>
          <w:between w:val="nil"/>
        </w:pBdr>
        <w:rPr>
          <w:color w:val="FF0000"/>
          <w:u w:val="single"/>
        </w:rPr>
      </w:pPr>
    </w:p>
    <w:p w14:paraId="4975227C" w14:textId="77777777" w:rsidR="00081B0C" w:rsidRPr="006B6572" w:rsidRDefault="00081B0C" w:rsidP="00081B0C">
      <w:pPr>
        <w:pBdr>
          <w:top w:val="nil"/>
          <w:left w:val="nil"/>
          <w:bottom w:val="nil"/>
          <w:right w:val="nil"/>
          <w:between w:val="nil"/>
        </w:pBdr>
      </w:pPr>
      <w:r w:rsidRPr="006B6572">
        <w:t xml:space="preserve">Obviously, </w:t>
      </w:r>
      <w:r>
        <w:t xml:space="preserve">some insight into </w:t>
      </w:r>
      <w:r w:rsidRPr="006B6572">
        <w:t>blockchain would be useful, but it’s not essential</w:t>
      </w:r>
      <w:r>
        <w:t>: we can bring you up to speed</w:t>
      </w:r>
      <w:r w:rsidRPr="006B6572">
        <w:t>. You probably you have a background in Computer Science or Information Management but we’re also open to hearing from cryptographers, mathematicians or game theorists.</w:t>
      </w:r>
    </w:p>
    <w:p w14:paraId="2DB8BF39" w14:textId="77777777" w:rsidR="00081B0C" w:rsidRPr="006B6572" w:rsidRDefault="00081B0C" w:rsidP="00081B0C">
      <w:pPr>
        <w:pBdr>
          <w:top w:val="nil"/>
          <w:left w:val="nil"/>
          <w:bottom w:val="nil"/>
          <w:right w:val="nil"/>
          <w:between w:val="nil"/>
        </w:pBdr>
      </w:pPr>
    </w:p>
    <w:p w14:paraId="238CAED2" w14:textId="77777777" w:rsidR="00081B0C" w:rsidRPr="006B6572" w:rsidRDefault="00081B0C" w:rsidP="00081B0C">
      <w:pPr>
        <w:pBdr>
          <w:top w:val="nil"/>
          <w:left w:val="nil"/>
          <w:bottom w:val="nil"/>
          <w:right w:val="nil"/>
          <w:between w:val="nil"/>
        </w:pBdr>
      </w:pPr>
      <w:r>
        <w:t xml:space="preserve">You’ll be part of a </w:t>
      </w:r>
      <w:r w:rsidRPr="006B6572">
        <w:t xml:space="preserve">start-up </w:t>
      </w:r>
      <w:r>
        <w:t xml:space="preserve">culture </w:t>
      </w:r>
      <w:r w:rsidRPr="006B6572">
        <w:t xml:space="preserve">where we sometimes ‘colour outside the lines’ – that’s something you’ll need to embrace. To thrive here, you’ll </w:t>
      </w:r>
      <w:r>
        <w:t xml:space="preserve">definitely </w:t>
      </w:r>
      <w:r w:rsidRPr="006B6572">
        <w:t>need to be able to think on your feet – you’re someone who loves coming up with original ideas and exploring different angles to solve a problem.</w:t>
      </w:r>
    </w:p>
    <w:p w14:paraId="671B8235" w14:textId="77777777" w:rsidR="00081B0C" w:rsidRPr="00901452" w:rsidRDefault="00081B0C" w:rsidP="00081B0C">
      <w:pPr>
        <w:spacing w:before="280" w:after="280"/>
        <w:rPr>
          <w:b/>
        </w:rPr>
      </w:pPr>
      <w:r w:rsidRPr="00901452">
        <w:rPr>
          <w:b/>
        </w:rPr>
        <w:t>The Shell Graduate Programme: a world of opportunities</w:t>
      </w:r>
    </w:p>
    <w:p w14:paraId="255F15E1" w14:textId="77777777" w:rsidR="00081B0C" w:rsidRPr="00435ACC" w:rsidRDefault="00081B0C" w:rsidP="00081B0C">
      <w:r w:rsidRPr="00435ACC">
        <w:t xml:space="preserve">Join the IT Shell Graduate Programme and you can look forward to an industry-leading two- or three-year learning programme, offering real responsibility, engaging challenges and continued professional development. </w:t>
      </w:r>
    </w:p>
    <w:p w14:paraId="4BD71E6C" w14:textId="77777777" w:rsidR="00081B0C" w:rsidRPr="00435ACC" w:rsidRDefault="00081B0C" w:rsidP="00081B0C"/>
    <w:p w14:paraId="16B6EC3B" w14:textId="77777777" w:rsidR="00081B0C" w:rsidRPr="00435ACC" w:rsidRDefault="00081B0C" w:rsidP="00081B0C">
      <w:r w:rsidRPr="00435ACC">
        <w:t>There’s never been a more exciting time to be part of the energy industry. Start your career at Shell and immerse yourself in innovative projects to find economically, socially and environmentally responsible solutions to the world’s energy needs. You’ll be learning alongside brilliant people from all over the world, with the resources and support to explore new ways of thinking and working – all in all, an unbeatable experience.</w:t>
      </w:r>
    </w:p>
    <w:p w14:paraId="0291427E" w14:textId="77777777" w:rsidR="00081B0C" w:rsidRPr="00901452" w:rsidRDefault="00081B0C" w:rsidP="00081B0C">
      <w:pPr>
        <w:rPr>
          <w:b/>
        </w:rPr>
      </w:pPr>
    </w:p>
    <w:p w14:paraId="19B091F3" w14:textId="77777777" w:rsidR="00081B0C" w:rsidRDefault="00081B0C" w:rsidP="00081B0C">
      <w:r w:rsidRPr="00901452">
        <w:rPr>
          <w:b/>
        </w:rPr>
        <w:t>Helping you prepare</w:t>
      </w:r>
      <w:r w:rsidRPr="00901452">
        <w:br/>
      </w:r>
    </w:p>
    <w:p w14:paraId="25DBD745" w14:textId="699E030F" w:rsidR="00081B0C" w:rsidRPr="00901452" w:rsidRDefault="00081B0C" w:rsidP="00081B0C">
      <w:pPr>
        <w:rPr>
          <w:color w:val="000000"/>
          <w:u w:val="single"/>
        </w:rPr>
      </w:pPr>
      <w:r w:rsidRPr="00901452">
        <w:t>We want you to be at your best when completing the assessments, so here are some top tips and some additional background information that may help you. Ace your application prep by reviewing our </w:t>
      </w:r>
      <w:hyperlink r:id="rId6" w:history="1">
        <w:r w:rsidRPr="00081B0C">
          <w:rPr>
            <w:rStyle w:val="Hyperlink"/>
          </w:rPr>
          <w:t>application tips.</w:t>
        </w:r>
      </w:hyperlink>
    </w:p>
    <w:p w14:paraId="7DDE4130" w14:textId="77777777" w:rsidR="00081B0C" w:rsidRDefault="00081B0C" w:rsidP="00081B0C">
      <w:pPr>
        <w:pBdr>
          <w:top w:val="nil"/>
          <w:left w:val="nil"/>
          <w:bottom w:val="nil"/>
          <w:right w:val="nil"/>
          <w:between w:val="nil"/>
        </w:pBdr>
        <w:rPr>
          <w:b/>
          <w:color w:val="000000"/>
        </w:rPr>
      </w:pPr>
    </w:p>
    <w:p w14:paraId="5277C772" w14:textId="77777777" w:rsidR="00081B0C" w:rsidRDefault="00081B0C" w:rsidP="00081B0C">
      <w:pPr>
        <w:pBdr>
          <w:top w:val="nil"/>
          <w:left w:val="nil"/>
          <w:bottom w:val="nil"/>
          <w:right w:val="nil"/>
          <w:between w:val="nil"/>
        </w:pBdr>
        <w:rPr>
          <w:color w:val="000000"/>
        </w:rPr>
      </w:pPr>
      <w:r w:rsidRPr="00901452">
        <w:rPr>
          <w:b/>
          <w:color w:val="000000"/>
        </w:rPr>
        <w:t>Ready to apply?</w:t>
      </w:r>
      <w:r w:rsidRPr="00901452">
        <w:rPr>
          <w:color w:val="000000"/>
        </w:rPr>
        <w:br/>
      </w:r>
    </w:p>
    <w:p w14:paraId="582B47BD" w14:textId="66354694" w:rsidR="00081B0C" w:rsidRPr="00901452" w:rsidRDefault="00081B0C" w:rsidP="00081B0C">
      <w:pPr>
        <w:pBdr>
          <w:top w:val="nil"/>
          <w:left w:val="nil"/>
          <w:bottom w:val="nil"/>
          <w:right w:val="nil"/>
          <w:between w:val="nil"/>
        </w:pBdr>
        <w:rPr>
          <w:color w:val="000000"/>
        </w:rPr>
      </w:pPr>
      <w:r>
        <w:rPr>
          <w:color w:val="000000"/>
        </w:rPr>
        <w:t xml:space="preserve">If you’re excited by the chance to push boundaries and </w:t>
      </w:r>
      <w:r w:rsidRPr="00901452">
        <w:rPr>
          <w:color w:val="000000"/>
        </w:rPr>
        <w:t>explor</w:t>
      </w:r>
      <w:r>
        <w:rPr>
          <w:color w:val="000000"/>
        </w:rPr>
        <w:t xml:space="preserve">e </w:t>
      </w:r>
      <w:r w:rsidRPr="00901452">
        <w:rPr>
          <w:color w:val="000000"/>
        </w:rPr>
        <w:t>frontiers</w:t>
      </w:r>
      <w:r>
        <w:rPr>
          <w:color w:val="000000"/>
        </w:rPr>
        <w:t xml:space="preserve">, </w:t>
      </w:r>
      <w:bookmarkStart w:id="1" w:name="_gjdgxs" w:colFirst="0" w:colLast="0"/>
      <w:bookmarkEnd w:id="1"/>
      <w:r>
        <w:rPr>
          <w:color w:val="000000"/>
        </w:rPr>
        <w:t xml:space="preserve">click </w:t>
      </w:r>
      <w:hyperlink r:id="rId7" w:anchor="jobDetails=1434347_5564" w:history="1">
        <w:r w:rsidRPr="003F14EC">
          <w:rPr>
            <w:rStyle w:val="Hyperlink"/>
          </w:rPr>
          <w:t>here</w:t>
        </w:r>
      </w:hyperlink>
      <w:r>
        <w:rPr>
          <w:color w:val="000000"/>
        </w:rPr>
        <w:t xml:space="preserve"> to start you application. In the online application form, select “IT” as your preferred area of interest. </w:t>
      </w:r>
    </w:p>
    <w:p w14:paraId="552BCEFC" w14:textId="77777777" w:rsidR="00021605" w:rsidRPr="00FE6EC5" w:rsidRDefault="00021605" w:rsidP="00081B0C">
      <w:pPr>
        <w:rPr>
          <w:rFonts w:eastAsia="Calibri" w:cstheme="minorHAnsi"/>
          <w:sz w:val="24"/>
        </w:rPr>
      </w:pPr>
    </w:p>
    <w:sectPr w:rsidR="00021605" w:rsidRPr="00FE6EC5" w:rsidSect="00C32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474"/>
    <w:multiLevelType w:val="hybridMultilevel"/>
    <w:tmpl w:val="241A7A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650"/>
    <w:multiLevelType w:val="hybridMultilevel"/>
    <w:tmpl w:val="6B5E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04263"/>
    <w:multiLevelType w:val="hybridMultilevel"/>
    <w:tmpl w:val="3C8AD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13C15"/>
    <w:multiLevelType w:val="multilevel"/>
    <w:tmpl w:val="529E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32FBD"/>
    <w:multiLevelType w:val="hybridMultilevel"/>
    <w:tmpl w:val="3DC041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254190"/>
    <w:multiLevelType w:val="hybridMultilevel"/>
    <w:tmpl w:val="F1F62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F14E3"/>
    <w:multiLevelType w:val="hybridMultilevel"/>
    <w:tmpl w:val="D900832A"/>
    <w:lvl w:ilvl="0" w:tplc="6CDCD582">
      <w:numFmt w:val="bullet"/>
      <w:lvlText w:val="•"/>
      <w:lvlJc w:val="left"/>
      <w:pPr>
        <w:ind w:left="72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CF60AB"/>
    <w:multiLevelType w:val="hybridMultilevel"/>
    <w:tmpl w:val="BAAAB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2586F"/>
    <w:multiLevelType w:val="hybridMultilevel"/>
    <w:tmpl w:val="E6643B14"/>
    <w:lvl w:ilvl="0" w:tplc="0409000D">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70E70E92"/>
    <w:multiLevelType w:val="hybridMultilevel"/>
    <w:tmpl w:val="4CF27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E249A"/>
    <w:multiLevelType w:val="hybridMultilevel"/>
    <w:tmpl w:val="D764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2"/>
  </w:num>
  <w:num w:numId="6">
    <w:abstractNumId w:val="6"/>
  </w:num>
  <w:num w:numId="7">
    <w:abstractNumId w:val="8"/>
  </w:num>
  <w:num w:numId="8">
    <w:abstractNumId w:val="0"/>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05"/>
    <w:rsid w:val="00021605"/>
    <w:rsid w:val="000709A4"/>
    <w:rsid w:val="00081B0C"/>
    <w:rsid w:val="000E6513"/>
    <w:rsid w:val="00197B2C"/>
    <w:rsid w:val="00197C73"/>
    <w:rsid w:val="001D265F"/>
    <w:rsid w:val="001E5721"/>
    <w:rsid w:val="002059E8"/>
    <w:rsid w:val="0022299F"/>
    <w:rsid w:val="00246890"/>
    <w:rsid w:val="002877E6"/>
    <w:rsid w:val="0029057E"/>
    <w:rsid w:val="002E3407"/>
    <w:rsid w:val="003C7048"/>
    <w:rsid w:val="003F14EC"/>
    <w:rsid w:val="004B0796"/>
    <w:rsid w:val="00540411"/>
    <w:rsid w:val="005D7120"/>
    <w:rsid w:val="005E1BC9"/>
    <w:rsid w:val="00626854"/>
    <w:rsid w:val="00636569"/>
    <w:rsid w:val="006E1C22"/>
    <w:rsid w:val="00716032"/>
    <w:rsid w:val="00736566"/>
    <w:rsid w:val="007921C1"/>
    <w:rsid w:val="00802CF5"/>
    <w:rsid w:val="008C0E22"/>
    <w:rsid w:val="009134DD"/>
    <w:rsid w:val="00965825"/>
    <w:rsid w:val="009A1ABB"/>
    <w:rsid w:val="009D1602"/>
    <w:rsid w:val="009E0490"/>
    <w:rsid w:val="00A47AE3"/>
    <w:rsid w:val="00AC440D"/>
    <w:rsid w:val="00AD7FC7"/>
    <w:rsid w:val="00BF7C65"/>
    <w:rsid w:val="00C32B4A"/>
    <w:rsid w:val="00CB5CF2"/>
    <w:rsid w:val="00D845A4"/>
    <w:rsid w:val="00D846C6"/>
    <w:rsid w:val="00EC79BF"/>
    <w:rsid w:val="00F43C1F"/>
    <w:rsid w:val="00F60B4C"/>
    <w:rsid w:val="00FE6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2CDD"/>
  <w15:docId w15:val="{9D0D3697-82D2-AD43-8D0E-85A5287E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05"/>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22"/>
    <w:pPr>
      <w:ind w:left="720"/>
      <w:contextualSpacing/>
    </w:pPr>
  </w:style>
  <w:style w:type="paragraph" w:styleId="NormalWeb">
    <w:name w:val="Normal (Web)"/>
    <w:basedOn w:val="Normal"/>
    <w:uiPriority w:val="99"/>
    <w:unhideWhenUsed/>
    <w:rsid w:val="00626854"/>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5404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40411"/>
    <w:rPr>
      <w:color w:val="0563C1" w:themeColor="hyperlink"/>
      <w:u w:val="single"/>
    </w:rPr>
  </w:style>
  <w:style w:type="character" w:customStyle="1" w:styleId="NichtaufgelsteErwhnung1">
    <w:name w:val="Nicht aufgelöste Erwähnung1"/>
    <w:basedOn w:val="DefaultParagraphFont"/>
    <w:uiPriority w:val="99"/>
    <w:semiHidden/>
    <w:unhideWhenUsed/>
    <w:rsid w:val="00540411"/>
    <w:rPr>
      <w:color w:val="808080"/>
      <w:shd w:val="clear" w:color="auto" w:fill="E6E6E6"/>
    </w:rPr>
  </w:style>
  <w:style w:type="paragraph" w:customStyle="1" w:styleId="answer">
    <w:name w:val="answer"/>
    <w:basedOn w:val="Normal"/>
    <w:rsid w:val="002877E6"/>
    <w:pPr>
      <w:spacing w:before="100" w:beforeAutospacing="1" w:after="100" w:afterAutospacing="1"/>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877E6"/>
    <w:rPr>
      <w:color w:val="954F72" w:themeColor="followedHyperlink"/>
      <w:u w:val="single"/>
    </w:rPr>
  </w:style>
  <w:style w:type="character" w:styleId="CommentReference">
    <w:name w:val="annotation reference"/>
    <w:basedOn w:val="DefaultParagraphFont"/>
    <w:uiPriority w:val="99"/>
    <w:semiHidden/>
    <w:unhideWhenUsed/>
    <w:rsid w:val="003C7048"/>
    <w:rPr>
      <w:sz w:val="18"/>
      <w:szCs w:val="18"/>
    </w:rPr>
  </w:style>
  <w:style w:type="paragraph" w:styleId="CommentText">
    <w:name w:val="annotation text"/>
    <w:basedOn w:val="Normal"/>
    <w:link w:val="CommentTextChar"/>
    <w:uiPriority w:val="99"/>
    <w:semiHidden/>
    <w:unhideWhenUsed/>
    <w:rsid w:val="003C7048"/>
    <w:rPr>
      <w:sz w:val="24"/>
      <w:szCs w:val="24"/>
    </w:rPr>
  </w:style>
  <w:style w:type="character" w:customStyle="1" w:styleId="CommentTextChar">
    <w:name w:val="Comment Text Char"/>
    <w:basedOn w:val="DefaultParagraphFont"/>
    <w:link w:val="CommentText"/>
    <w:uiPriority w:val="99"/>
    <w:semiHidden/>
    <w:rsid w:val="003C7048"/>
    <w:rPr>
      <w:sz w:val="24"/>
      <w:szCs w:val="24"/>
      <w:lang w:val="en-GB"/>
    </w:rPr>
  </w:style>
  <w:style w:type="paragraph" w:styleId="CommentSubject">
    <w:name w:val="annotation subject"/>
    <w:basedOn w:val="CommentText"/>
    <w:next w:val="CommentText"/>
    <w:link w:val="CommentSubjectChar"/>
    <w:uiPriority w:val="99"/>
    <w:semiHidden/>
    <w:unhideWhenUsed/>
    <w:rsid w:val="003C7048"/>
    <w:rPr>
      <w:b/>
      <w:bCs/>
      <w:sz w:val="20"/>
      <w:szCs w:val="20"/>
    </w:rPr>
  </w:style>
  <w:style w:type="character" w:customStyle="1" w:styleId="CommentSubjectChar">
    <w:name w:val="Comment Subject Char"/>
    <w:basedOn w:val="CommentTextChar"/>
    <w:link w:val="CommentSubject"/>
    <w:uiPriority w:val="99"/>
    <w:semiHidden/>
    <w:rsid w:val="003C7048"/>
    <w:rPr>
      <w:b/>
      <w:bCs/>
      <w:sz w:val="20"/>
      <w:szCs w:val="20"/>
      <w:lang w:val="en-GB"/>
    </w:rPr>
  </w:style>
  <w:style w:type="paragraph" w:styleId="BalloonText">
    <w:name w:val="Balloon Text"/>
    <w:basedOn w:val="Normal"/>
    <w:link w:val="BalloonTextChar"/>
    <w:uiPriority w:val="99"/>
    <w:semiHidden/>
    <w:unhideWhenUsed/>
    <w:rsid w:val="003C70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048"/>
    <w:rPr>
      <w:rFonts w:ascii="Lucida Grande" w:hAnsi="Lucida Grande"/>
      <w:sz w:val="18"/>
      <w:szCs w:val="18"/>
      <w:lang w:val="en-GB"/>
    </w:rPr>
  </w:style>
  <w:style w:type="character" w:styleId="UnresolvedMention">
    <w:name w:val="Unresolved Mention"/>
    <w:basedOn w:val="DefaultParagraphFont"/>
    <w:uiPriority w:val="99"/>
    <w:semiHidden/>
    <w:unhideWhenUsed/>
    <w:rsid w:val="005D71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0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rb-sjobs.brassring.com/TGnewUI/Search/home/HomeWithPreLoad?PageType=JobDetails&amp;partnerid=30030&amp;siteid=5564&amp;jobid=1434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ll.com/careers/working-at-shell/candidate-resource-centre.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Zanden, Monique SI-HRT/RE</dc:creator>
  <cp:keywords/>
  <dc:description/>
  <cp:lastModifiedBy>Kuijpers, Corin SI-HRT/RM</cp:lastModifiedBy>
  <cp:revision>2</cp:revision>
  <dcterms:created xsi:type="dcterms:W3CDTF">2019-01-14T09:46:00Z</dcterms:created>
  <dcterms:modified xsi:type="dcterms:W3CDTF">2019-01-14T09:46:00Z</dcterms:modified>
</cp:coreProperties>
</file>